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720"/>
        <w:rPr>
          <w:sz w:val="28"/>
          <w:szCs w:val="28"/>
          <w:lang w:val="en-US"/>
        </w:rPr>
      </w:pPr>
      <w:r>
        <w:rPr>
          <w:sz w:val="28"/>
          <w:szCs w:val="28"/>
          <w:lang w:val="en-US"/>
        </w:rPr>
        <w:t xml:space="preserve">      UBND TỈNH ĐIỆN BIÊN</w:t>
      </w:r>
    </w:p>
    <w:p>
      <w:pPr>
        <w:ind w:firstLine="720"/>
        <w:rPr>
          <w:b/>
          <w:bCs/>
          <w:sz w:val="28"/>
          <w:szCs w:val="28"/>
          <w:lang w:val="en-US"/>
        </w:rPr>
      </w:pPr>
      <w:r>
        <w:rPr>
          <w:b/>
          <w:bCs/>
          <w:sz w:val="28"/>
          <w:szCs w:val="28"/>
          <w:lang w:val="en-US"/>
        </w:rPr>
        <w:t>SỞ TÀI NGUYÊN VÀ MÔI TRƯỜNG</w:t>
      </w:r>
    </w:p>
    <w:p>
      <w:pPr>
        <w:ind w:firstLine="720"/>
        <w:rPr>
          <w:b/>
          <w:bCs/>
          <w:sz w:val="28"/>
          <w:szCs w:val="28"/>
          <w:lang w:val="en-US"/>
        </w:rPr>
      </w:pPr>
      <w:r>
        <w:rPr>
          <w:b/>
          <w:bCs/>
          <w:sz w:val="28"/>
          <w:szCs w:val="28"/>
          <w:lang w:val="en-US"/>
        </w:rPr>
        <w:t xml:space="preserve">                   ----------------</w:t>
      </w:r>
    </w:p>
    <w:p>
      <w:pPr>
        <w:spacing w:before="120" w:after="120" w:line="360" w:lineRule="exact"/>
        <w:ind w:firstLine="720"/>
        <w:rPr>
          <w:sz w:val="28"/>
          <w:szCs w:val="28"/>
          <w:lang w:val="en-US"/>
        </w:rPr>
      </w:pPr>
    </w:p>
    <w:p>
      <w:pPr>
        <w:spacing w:before="120" w:after="120" w:line="360" w:lineRule="exact"/>
        <w:ind w:firstLine="720"/>
        <w:jc w:val="center"/>
        <w:rPr>
          <w:b/>
          <w:bCs/>
          <w:sz w:val="28"/>
          <w:szCs w:val="28"/>
          <w:lang w:val="en-US"/>
        </w:rPr>
      </w:pPr>
      <w:r>
        <w:rPr>
          <w:b/>
          <w:bCs/>
          <w:sz w:val="28"/>
          <w:szCs w:val="28"/>
          <w:lang w:val="en-US"/>
        </w:rPr>
        <w:t>NỘI DUNG THAM LUẬN</w:t>
      </w:r>
    </w:p>
    <w:p>
      <w:pPr>
        <w:widowControl/>
        <w:autoSpaceDE/>
        <w:autoSpaceDN/>
        <w:jc w:val="center"/>
        <w:rPr>
          <w:b/>
          <w:bCs/>
          <w:i/>
          <w:sz w:val="28"/>
          <w:szCs w:val="28"/>
          <w:lang w:val="en-US"/>
        </w:rPr>
      </w:pPr>
      <w:r>
        <w:rPr>
          <w:b/>
          <w:i/>
          <w:spacing w:val="-2"/>
          <w:sz w:val="28"/>
          <w:szCs w:val="28"/>
          <w:lang w:val="en-US"/>
        </w:rPr>
        <w:t>(</w:t>
      </w:r>
      <w:r>
        <w:rPr>
          <w:b/>
          <w:bCs/>
          <w:sz w:val="28"/>
          <w:szCs w:val="28"/>
          <w:lang w:val="en-US"/>
        </w:rPr>
        <w:t>Hội nghị Tổng kết công tác Chuyển đổi số năm 2023; Sơ kết 02 năm thực hiện Đề án 06 và triển khai nhiệm vụ năm 2024</w:t>
      </w:r>
      <w:r>
        <w:rPr>
          <w:sz w:val="28"/>
          <w:szCs w:val="28"/>
          <w:lang w:val="en-US"/>
        </w:rPr>
        <w:t xml:space="preserve"> </w:t>
      </w:r>
      <w:r>
        <w:rPr>
          <w:b/>
          <w:bCs/>
          <w:i/>
          <w:sz w:val="28"/>
          <w:szCs w:val="28"/>
          <w:lang w:val="en-US"/>
        </w:rPr>
        <w:t>)</w:t>
      </w:r>
    </w:p>
    <w:p>
      <w:pPr>
        <w:spacing w:before="120" w:after="120" w:line="360" w:lineRule="exact"/>
        <w:ind w:firstLine="720"/>
        <w:jc w:val="both"/>
        <w:rPr>
          <w:sz w:val="28"/>
          <w:szCs w:val="28"/>
          <w:lang w:val="en-US"/>
        </w:rPr>
      </w:pPr>
    </w:p>
    <w:p>
      <w:pPr>
        <w:spacing w:before="60" w:after="60" w:line="288" w:lineRule="auto"/>
        <w:ind w:firstLine="567"/>
        <w:jc w:val="both"/>
        <w:rPr>
          <w:sz w:val="28"/>
          <w:szCs w:val="28"/>
          <w:lang w:val="en-US"/>
        </w:rPr>
      </w:pPr>
      <w:r>
        <w:rPr>
          <w:sz w:val="28"/>
          <w:szCs w:val="28"/>
        </w:rPr>
        <w:t xml:space="preserve">Kính thưa đồng chí </w:t>
      </w:r>
      <w:r>
        <w:rPr>
          <w:sz w:val="28"/>
          <w:szCs w:val="28"/>
          <w:lang w:val="en-US"/>
        </w:rPr>
        <w:t>Lê Thành Đô, Chủ tịch UBND tỉnh, Trưởng Ban chỉ đạo Chuyển đổi số và Đề án 06 tỉnh;</w:t>
      </w:r>
    </w:p>
    <w:p>
      <w:pPr>
        <w:spacing w:before="60" w:after="60" w:line="288" w:lineRule="auto"/>
        <w:ind w:firstLine="567"/>
        <w:jc w:val="both"/>
        <w:rPr>
          <w:sz w:val="28"/>
          <w:szCs w:val="28"/>
        </w:rPr>
      </w:pPr>
      <w:r>
        <w:rPr>
          <w:sz w:val="28"/>
          <w:szCs w:val="28"/>
          <w:lang w:val="en-US"/>
        </w:rPr>
        <w:t>Kính thưa các đồng chí trong hội nghị</w:t>
      </w:r>
    </w:p>
    <w:p>
      <w:pPr>
        <w:spacing w:before="60" w:after="60" w:line="288" w:lineRule="auto"/>
        <w:ind w:firstLine="567"/>
        <w:jc w:val="both"/>
        <w:rPr>
          <w:color w:val="FF0000"/>
          <w:sz w:val="28"/>
          <w:szCs w:val="28"/>
          <w:lang w:val="en-US"/>
        </w:rPr>
      </w:pPr>
      <w:r>
        <w:rPr>
          <w:bCs/>
          <w:sz w:val="28"/>
          <w:szCs w:val="28"/>
          <w:lang w:val="pt-BR"/>
        </w:rPr>
        <w:t xml:space="preserve">Trên cơ sở chỉ đạo của Tỉnh ủy, Ủy ban nhân dân tỉnh; hướng dẫn chuyên môn, nghiệp vụ của Bộ Tài nguyên và Môi trường. Sở Tài nguyên và Môi trường luôn chú trọng quan tâm bám sát </w:t>
      </w:r>
      <w:r>
        <w:rPr>
          <w:bCs/>
          <w:spacing w:val="-2"/>
          <w:sz w:val="28"/>
          <w:szCs w:val="28"/>
          <w:lang w:val="pt-BR"/>
        </w:rPr>
        <w:t xml:space="preserve">các nội dung chỉ đạo của Chính phủ, </w:t>
      </w:r>
      <w:r>
        <w:rPr>
          <w:bCs/>
          <w:sz w:val="28"/>
          <w:szCs w:val="28"/>
          <w:lang w:val="pt-BR"/>
        </w:rPr>
        <w:t>Tỉnh ủy, Ủy ban nhân dân tỉnh</w:t>
      </w:r>
      <w:r>
        <w:rPr>
          <w:sz w:val="28"/>
          <w:szCs w:val="28"/>
          <w:lang w:val="en-US"/>
        </w:rPr>
        <w:t xml:space="preserve"> và Ban chỉ đạo đề án 06 tỉnh</w:t>
      </w:r>
      <w:r>
        <w:rPr>
          <w:bCs/>
          <w:spacing w:val="-2"/>
          <w:sz w:val="28"/>
          <w:szCs w:val="28"/>
          <w:lang w:val="pt-BR"/>
        </w:rPr>
        <w:t xml:space="preserve"> để triển khai, thực hiện các nhiệm vụ thuộc lĩnh vực của ngành theo lộ trình của Chuyển đổi số và Đề án 06/CP.</w:t>
      </w:r>
    </w:p>
    <w:p>
      <w:pPr>
        <w:spacing w:before="60" w:after="60" w:line="288" w:lineRule="auto"/>
        <w:ind w:firstLine="567"/>
        <w:jc w:val="both"/>
        <w:rPr>
          <w:sz w:val="28"/>
          <w:szCs w:val="28"/>
          <w:lang w:val="en-US"/>
        </w:rPr>
      </w:pPr>
      <w:r>
        <w:rPr>
          <w:sz w:val="28"/>
          <w:szCs w:val="28"/>
        </w:rPr>
        <w:t xml:space="preserve">Được sự </w:t>
      </w:r>
      <w:r>
        <w:rPr>
          <w:sz w:val="28"/>
          <w:szCs w:val="28"/>
          <w:lang w:val="en-US"/>
        </w:rPr>
        <w:t>phân công</w:t>
      </w:r>
      <w:r>
        <w:rPr>
          <w:sz w:val="28"/>
          <w:szCs w:val="28"/>
        </w:rPr>
        <w:t xml:space="preserve"> của ban tổ chức </w:t>
      </w:r>
      <w:r>
        <w:rPr>
          <w:sz w:val="28"/>
          <w:szCs w:val="28"/>
          <w:lang w:val="en-US"/>
        </w:rPr>
        <w:t xml:space="preserve">về nội dung tham luận tại </w:t>
      </w:r>
      <w:r>
        <w:rPr>
          <w:sz w:val="28"/>
          <w:szCs w:val="28"/>
        </w:rPr>
        <w:t xml:space="preserve">hội nghị. Tôi xin phép tôi được phát biểu tham luận </w:t>
      </w:r>
      <w:r>
        <w:rPr>
          <w:sz w:val="28"/>
          <w:szCs w:val="28"/>
          <w:lang w:val="en-US"/>
        </w:rPr>
        <w:t>02 nội dung thuộc lĩnh vực như sau:</w:t>
      </w:r>
    </w:p>
    <w:p>
      <w:pPr>
        <w:spacing w:before="60" w:after="60" w:line="288" w:lineRule="auto"/>
        <w:ind w:firstLine="567"/>
        <w:jc w:val="both"/>
        <w:rPr>
          <w:sz w:val="28"/>
          <w:szCs w:val="28"/>
          <w:lang w:val="pt-BR"/>
        </w:rPr>
      </w:pPr>
      <w:r>
        <w:rPr>
          <w:b/>
          <w:sz w:val="28"/>
          <w:szCs w:val="28"/>
          <w:lang w:val="pt-BR"/>
        </w:rPr>
        <w:t>1. Nội dung</w:t>
      </w:r>
      <w:r>
        <w:rPr>
          <w:sz w:val="28"/>
          <w:szCs w:val="28"/>
          <w:lang w:val="pt-BR"/>
        </w:rPr>
        <w:t>: Việc xây dựng dữ liệu đất đai:</w:t>
      </w:r>
    </w:p>
    <w:p>
      <w:pPr>
        <w:spacing w:before="60" w:after="60" w:line="288" w:lineRule="auto"/>
        <w:ind w:firstLine="567"/>
        <w:jc w:val="both"/>
        <w:rPr>
          <w:i/>
          <w:sz w:val="28"/>
          <w:szCs w:val="28"/>
          <w:lang w:val="pt-BR"/>
        </w:rPr>
      </w:pPr>
      <w:r>
        <w:rPr>
          <w:i/>
          <w:sz w:val="28"/>
          <w:szCs w:val="28"/>
          <w:lang w:val="pt-BR"/>
        </w:rPr>
        <w:t>* Thực trạng xây dụng Cơ sở dữ liệu đất đai</w:t>
      </w:r>
    </w:p>
    <w:p>
      <w:pPr>
        <w:shd w:val="clear" w:color="auto" w:fill="FFFFFF"/>
        <w:spacing w:before="80"/>
        <w:ind w:firstLine="720"/>
        <w:jc w:val="both"/>
        <w:rPr>
          <w:bCs/>
          <w:iCs/>
          <w:sz w:val="28"/>
          <w:szCs w:val="28"/>
          <w:lang w:val="en-US"/>
        </w:rPr>
      </w:pPr>
      <w:r>
        <w:rPr>
          <w:bCs/>
          <w:iCs/>
          <w:sz w:val="28"/>
          <w:szCs w:val="28"/>
          <w:lang w:val="en-US"/>
        </w:rPr>
        <w:t xml:space="preserve">- Công tác </w:t>
      </w:r>
      <w:r>
        <w:rPr>
          <w:color w:val="000000"/>
          <w:sz w:val="28"/>
          <w:szCs w:val="28"/>
          <w:lang w:eastAsia="vi-VN"/>
        </w:rPr>
        <w:t xml:space="preserve">đo đạc thành lập bản đồ địa chính, cấp giấy chứng nhận quyền sử dụng đất lần đầu </w:t>
      </w:r>
      <w:r>
        <w:rPr>
          <w:bCs/>
          <w:iCs/>
          <w:sz w:val="28"/>
          <w:szCs w:val="28"/>
          <w:lang w:val="en-US"/>
        </w:rPr>
        <w:t xml:space="preserve">trên địa bản tỉnh mới thực hiện 39 xã. </w:t>
      </w:r>
    </w:p>
    <w:p>
      <w:pPr>
        <w:shd w:val="clear" w:color="auto" w:fill="FFFFFF"/>
        <w:spacing w:before="80"/>
        <w:ind w:firstLine="720"/>
        <w:jc w:val="both"/>
        <w:rPr>
          <w:bCs/>
          <w:i/>
          <w:iCs/>
          <w:sz w:val="28"/>
          <w:szCs w:val="28"/>
          <w:lang w:val="en-US"/>
        </w:rPr>
      </w:pPr>
      <w:r>
        <w:rPr>
          <w:bCs/>
          <w:iCs/>
          <w:sz w:val="28"/>
          <w:szCs w:val="28"/>
          <w:lang w:val="en-US"/>
        </w:rPr>
        <w:t xml:space="preserve">- </w:t>
      </w:r>
      <w:r>
        <w:rPr>
          <w:bCs/>
          <w:iCs/>
          <w:sz w:val="28"/>
          <w:szCs w:val="28"/>
        </w:rPr>
        <w:t xml:space="preserve">Về </w:t>
      </w:r>
      <w:r>
        <w:rPr>
          <w:sz w:val="28"/>
          <w:szCs w:val="28"/>
          <w:lang w:val="vi-VN"/>
        </w:rPr>
        <w:t xml:space="preserve">cơ sở dữ liệu đất đai </w:t>
      </w:r>
      <w:r>
        <w:rPr>
          <w:bCs/>
          <w:iCs/>
          <w:sz w:val="28"/>
          <w:szCs w:val="28"/>
        </w:rPr>
        <w:t>xây dựng toàn tỉnh đã xây dựng được cơ sở dữ liệu địa chính của 02 đơn vị cấp huyện là thành phố Điện Biên Phủ (8/12 xã, phường) và huyện Tủa Chùa (12/12 xã, thị trấn), kết quả xây dựng cơ sở dữ liệu đất đai, cụ thể:</w:t>
      </w:r>
    </w:p>
    <w:p>
      <w:pPr>
        <w:pStyle w:val="BodyText1"/>
        <w:shd w:val="clear" w:color="auto" w:fill="auto"/>
        <w:spacing w:before="80" w:line="240" w:lineRule="auto"/>
        <w:ind w:firstLine="720"/>
        <w:jc w:val="both"/>
        <w:rPr>
          <w:rFonts w:ascii="Times New Roman" w:hAnsi="Times New Roman" w:cs="Times New Roman"/>
          <w:bCs/>
          <w:sz w:val="28"/>
          <w:szCs w:val="28"/>
          <w:lang w:val="nb-NO"/>
        </w:rPr>
      </w:pPr>
      <w:r>
        <w:rPr>
          <w:rFonts w:ascii="Times New Roman" w:hAnsi="Times New Roman" w:cs="Times New Roman"/>
          <w:bCs/>
          <w:sz w:val="28"/>
          <w:szCs w:val="28"/>
          <w:lang w:val="it-IT"/>
        </w:rPr>
        <w:t>+ C</w:t>
      </w:r>
      <w:r>
        <w:rPr>
          <w:rFonts w:ascii="Times New Roman" w:hAnsi="Times New Roman" w:cs="Times New Roman"/>
          <w:sz w:val="28"/>
          <w:szCs w:val="28"/>
          <w:lang w:val="vi-VN"/>
        </w:rPr>
        <w:t xml:space="preserve">ơ sở dữ liệu địa chính thành phố Điện </w:t>
      </w:r>
      <w:r>
        <w:rPr>
          <w:rFonts w:ascii="Times New Roman" w:hAnsi="Times New Roman" w:cs="Times New Roman"/>
          <w:sz w:val="28"/>
          <w:szCs w:val="28"/>
          <w:lang w:val="it-IT"/>
        </w:rPr>
        <w:t>B</w:t>
      </w:r>
      <w:r>
        <w:rPr>
          <w:rFonts w:ascii="Times New Roman" w:hAnsi="Times New Roman" w:cs="Times New Roman"/>
          <w:sz w:val="28"/>
          <w:szCs w:val="28"/>
          <w:lang w:val="vi-VN"/>
        </w:rPr>
        <w:t xml:space="preserve">iên Phủ </w:t>
      </w:r>
      <w:r>
        <w:rPr>
          <w:rFonts w:ascii="Times New Roman" w:hAnsi="Times New Roman" w:cs="Times New Roman"/>
          <w:sz w:val="28"/>
          <w:szCs w:val="28"/>
        </w:rPr>
        <w:t xml:space="preserve">xây dựng xong tại 8/12 </w:t>
      </w:r>
      <w:r>
        <w:rPr>
          <w:rFonts w:ascii="Times New Roman" w:hAnsi="Times New Roman" w:cs="Times New Roman"/>
          <w:sz w:val="28"/>
          <w:szCs w:val="28"/>
          <w:lang w:val="vi-VN"/>
        </w:rPr>
        <w:t>xã</w:t>
      </w:r>
      <w:r>
        <w:rPr>
          <w:rFonts w:ascii="Times New Roman" w:hAnsi="Times New Roman" w:cs="Times New Roman"/>
          <w:sz w:val="28"/>
          <w:szCs w:val="28"/>
          <w:lang w:val="it-IT"/>
        </w:rPr>
        <w:t>, phường</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và </w:t>
      </w:r>
      <w:r>
        <w:rPr>
          <w:rFonts w:ascii="Times New Roman" w:hAnsi="Times New Roman" w:cs="Times New Roman"/>
          <w:sz w:val="28"/>
          <w:szCs w:val="28"/>
          <w:lang w:val="vi-VN"/>
        </w:rPr>
        <w:t>đưa vào vận hành khai thác sử dụng</w:t>
      </w:r>
      <w:r>
        <w:rPr>
          <w:rFonts w:ascii="Times New Roman" w:hAnsi="Times New Roman" w:cs="Times New Roman"/>
          <w:sz w:val="28"/>
          <w:szCs w:val="28"/>
        </w:rPr>
        <w:t xml:space="preserve"> từ </w:t>
      </w:r>
      <w:r>
        <w:rPr>
          <w:rFonts w:ascii="Times New Roman" w:hAnsi="Times New Roman" w:cs="Times New Roman"/>
          <w:bCs/>
          <w:sz w:val="28"/>
          <w:szCs w:val="28"/>
          <w:lang w:val="it-IT"/>
        </w:rPr>
        <w:t>tháng 12 năm 2017</w:t>
      </w:r>
      <w:r>
        <w:rPr>
          <w:rFonts w:ascii="Times New Roman" w:hAnsi="Times New Roman" w:cs="Times New Roman"/>
          <w:bCs/>
          <w:sz w:val="28"/>
          <w:szCs w:val="28"/>
          <w:lang w:val="nb-NO"/>
        </w:rPr>
        <w:t xml:space="preserve">. Tổng số </w:t>
      </w:r>
      <w:r>
        <w:rPr>
          <w:rFonts w:ascii="Times New Roman" w:hAnsi="Times New Roman" w:cs="Times New Roman"/>
          <w:sz w:val="28"/>
          <w:szCs w:val="28"/>
        </w:rPr>
        <w:t>hồ sơ cấp Giấy chứng nhận quyền sử dụng đất và 54</w:t>
      </w:r>
      <w:r>
        <w:rPr>
          <w:rFonts w:ascii="Times New Roman" w:hAnsi="Times New Roman" w:cs="Times New Roman"/>
          <w:sz w:val="28"/>
          <w:szCs w:val="28"/>
          <w:lang w:val="it-IT"/>
        </w:rPr>
        <w:t>.</w:t>
      </w:r>
      <w:r>
        <w:rPr>
          <w:rFonts w:ascii="Times New Roman" w:hAnsi="Times New Roman" w:cs="Times New Roman"/>
          <w:sz w:val="28"/>
          <w:szCs w:val="28"/>
        </w:rPr>
        <w:t>570 thửa đất đã được xây dựng cơ sở dữ liệu địa chính.</w:t>
      </w:r>
    </w:p>
    <w:p>
      <w:pPr>
        <w:pStyle w:val="BodyText1"/>
        <w:shd w:val="clear" w:color="auto" w:fill="auto"/>
        <w:spacing w:before="8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C</w:t>
      </w:r>
      <w:r>
        <w:rPr>
          <w:rFonts w:ascii="Times New Roman" w:hAnsi="Times New Roman" w:cs="Times New Roman"/>
          <w:sz w:val="28"/>
          <w:szCs w:val="28"/>
          <w:lang w:val="vi-VN"/>
        </w:rPr>
        <w:t>ơ sở dữ liệu địa chính huyện Tủa Chùa được</w:t>
      </w:r>
      <w:r>
        <w:rPr>
          <w:rFonts w:ascii="Times New Roman" w:hAnsi="Times New Roman" w:cs="Times New Roman"/>
          <w:sz w:val="28"/>
          <w:szCs w:val="28"/>
        </w:rPr>
        <w:t xml:space="preserve"> xây dựng tại </w:t>
      </w:r>
      <w:r>
        <w:rPr>
          <w:rFonts w:ascii="Times New Roman" w:hAnsi="Times New Roman" w:cs="Times New Roman"/>
          <w:sz w:val="28"/>
          <w:szCs w:val="28"/>
          <w:lang w:val="vi-VN"/>
        </w:rPr>
        <w:t>12/1</w:t>
      </w:r>
      <w:r>
        <w:rPr>
          <w:rFonts w:ascii="Times New Roman" w:hAnsi="Times New Roman" w:cs="Times New Roman"/>
          <w:sz w:val="28"/>
          <w:szCs w:val="28"/>
        </w:rPr>
        <w:t>2</w:t>
      </w:r>
      <w:r>
        <w:rPr>
          <w:rFonts w:ascii="Times New Roman" w:hAnsi="Times New Roman" w:cs="Times New Roman"/>
          <w:sz w:val="28"/>
          <w:szCs w:val="28"/>
          <w:lang w:val="vi-VN"/>
        </w:rPr>
        <w:t xml:space="preserve"> xã</w:t>
      </w:r>
      <w:r>
        <w:rPr>
          <w:rFonts w:ascii="Times New Roman" w:hAnsi="Times New Roman" w:cs="Times New Roman"/>
          <w:sz w:val="28"/>
          <w:szCs w:val="28"/>
          <w:lang w:val="it-IT"/>
        </w:rPr>
        <w:t>, thị trấn</w:t>
      </w:r>
      <w:r>
        <w:rPr>
          <w:rFonts w:ascii="Times New Roman" w:hAnsi="Times New Roman" w:cs="Times New Roman"/>
          <w:sz w:val="28"/>
          <w:szCs w:val="28"/>
          <w:lang w:val="vi-VN"/>
        </w:rPr>
        <w:t xml:space="preserve"> với 84.944 hồ sơ cấp Giấy chứng nhận quyền sử dụng đất, 174.153 thửa đất</w:t>
      </w:r>
      <w:r>
        <w:rPr>
          <w:rFonts w:ascii="Times New Roman" w:hAnsi="Times New Roman" w:cs="Times New Roman"/>
          <w:sz w:val="28"/>
          <w:szCs w:val="28"/>
        </w:rPr>
        <w:t>; hoàn thành xây dựng cơ sở dữ liệu địa chính vào</w:t>
      </w:r>
      <w:r>
        <w:rPr>
          <w:rFonts w:ascii="Times New Roman" w:hAnsi="Times New Roman" w:cs="Times New Roman"/>
          <w:sz w:val="28"/>
          <w:szCs w:val="28"/>
          <w:lang w:val="vi-VN"/>
        </w:rPr>
        <w:t xml:space="preserve"> tháng 11 năm 2020</w:t>
      </w:r>
      <w:r>
        <w:rPr>
          <w:rFonts w:ascii="Times New Roman" w:hAnsi="Times New Roman" w:cs="Times New Roman"/>
          <w:sz w:val="28"/>
          <w:szCs w:val="28"/>
        </w:rPr>
        <w:t xml:space="preserve">. Tuy nhiên, trang thiết bị máy móc, đường truyền và đào tạo chuyển giao để vận hành cơ sở dữ liệu địa chính tại Trung tâm quản lý đất đai </w:t>
      </w:r>
      <w:r>
        <w:rPr>
          <w:rFonts w:ascii="Times New Roman" w:hAnsi="Times New Roman" w:cs="Times New Roman"/>
          <w:i/>
          <w:sz w:val="28"/>
          <w:szCs w:val="28"/>
        </w:rPr>
        <w:t>(nay là Chi nhánh Văn phòng Đăng ký đất đai huyện Tủa Chùa)</w:t>
      </w:r>
      <w:r>
        <w:rPr>
          <w:rFonts w:ascii="Times New Roman" w:hAnsi="Times New Roman" w:cs="Times New Roman"/>
          <w:sz w:val="28"/>
          <w:szCs w:val="28"/>
        </w:rPr>
        <w:t xml:space="preserve"> và UBND các xã trên địa bàn chưa được đầu tư. Vì vậy, c</w:t>
      </w:r>
      <w:r>
        <w:rPr>
          <w:rFonts w:ascii="Times New Roman" w:hAnsi="Times New Roman" w:cs="Times New Roman"/>
          <w:sz w:val="28"/>
          <w:szCs w:val="28"/>
          <w:lang w:val="vi-VN"/>
        </w:rPr>
        <w:t>ơ sở dữ liệu địa chính huyện Tủa Chùa</w:t>
      </w:r>
      <w:r>
        <w:rPr>
          <w:rFonts w:ascii="Times New Roman" w:hAnsi="Times New Roman" w:cs="Times New Roman"/>
          <w:sz w:val="28"/>
          <w:szCs w:val="28"/>
        </w:rPr>
        <w:t xml:space="preserve"> chưa kết nối và </w:t>
      </w:r>
      <w:r>
        <w:rPr>
          <w:rFonts w:ascii="Times New Roman" w:hAnsi="Times New Roman" w:cs="Times New Roman"/>
          <w:sz w:val="28"/>
          <w:szCs w:val="28"/>
        </w:rPr>
        <w:lastRenderedPageBreak/>
        <w:t>đưa vào sử dụng.</w:t>
      </w:r>
    </w:p>
    <w:p>
      <w:pPr>
        <w:tabs>
          <w:tab w:val="left" w:pos="1663"/>
        </w:tabs>
        <w:spacing w:before="80"/>
        <w:ind w:firstLine="720"/>
        <w:jc w:val="both"/>
        <w:rPr>
          <w:sz w:val="28"/>
          <w:szCs w:val="28"/>
          <w:lang w:val="nb-NO"/>
        </w:rPr>
      </w:pPr>
      <w:r>
        <w:rPr>
          <w:sz w:val="28"/>
          <w:szCs w:val="28"/>
          <w:lang w:val="nb-NO"/>
        </w:rPr>
        <w:t>- Triển khai kết nối, liên thông dữ liệu đất đai địa phương với Hệ thống tích hợp, kết nối, chia sẻ dữ liệu đất đai quốc gia qua trục LGSP Bộ TN&amp;MT</w:t>
      </w:r>
      <w:r>
        <w:rPr>
          <w:sz w:val="28"/>
          <w:szCs w:val="28"/>
          <w:vertAlign w:val="superscript"/>
          <w:lang w:val="nb-NO"/>
        </w:rPr>
        <w:footnoteReference w:id="1"/>
      </w:r>
      <w:r>
        <w:rPr>
          <w:sz w:val="28"/>
          <w:szCs w:val="28"/>
          <w:lang w:val="nb-NO"/>
        </w:rPr>
        <w:t>.</w:t>
      </w:r>
    </w:p>
    <w:p>
      <w:pPr>
        <w:spacing w:before="80"/>
        <w:ind w:firstLine="720"/>
        <w:jc w:val="both"/>
        <w:rPr>
          <w:sz w:val="28"/>
          <w:szCs w:val="28"/>
          <w:lang w:val="en-US"/>
        </w:rPr>
      </w:pPr>
      <w:r>
        <w:rPr>
          <w:sz w:val="28"/>
          <w:szCs w:val="28"/>
          <w:lang w:val="nb-NO"/>
        </w:rPr>
        <w:t>- Hoàn thành kết nối, chia sẻ CSDL đất đai với CSDLQG về dân cư qua trục LGSP Bộ TN&amp;MT</w:t>
      </w:r>
      <w:r>
        <w:rPr>
          <w:sz w:val="28"/>
          <w:szCs w:val="28"/>
          <w:vertAlign w:val="superscript"/>
          <w:lang w:val="nb-NO"/>
        </w:rPr>
        <w:footnoteReference w:id="2"/>
      </w:r>
    </w:p>
    <w:p>
      <w:pPr>
        <w:pBdr>
          <w:top w:val="none" w:sz="4" w:space="0" w:color="000000"/>
          <w:left w:val="none" w:sz="4" w:space="0" w:color="000000"/>
          <w:bottom w:val="none" w:sz="4" w:space="0" w:color="000000"/>
          <w:right w:val="none" w:sz="4" w:space="0" w:color="000000"/>
          <w:between w:val="none" w:sz="4" w:space="0" w:color="000000"/>
        </w:pBdr>
        <w:ind w:firstLine="567"/>
        <w:rPr>
          <w:i/>
          <w:sz w:val="28"/>
          <w:szCs w:val="28"/>
          <w:lang w:val="it-IT"/>
        </w:rPr>
      </w:pPr>
      <w:r>
        <w:rPr>
          <w:i/>
          <w:sz w:val="28"/>
          <w:szCs w:val="28"/>
          <w:lang w:val="it-IT"/>
        </w:rPr>
        <w:t>* Khó khăn, vướng mắc</w:t>
      </w:r>
    </w:p>
    <w:p>
      <w:pPr>
        <w:numPr>
          <w:ilvl w:val="12"/>
          <w:numId w:val="0"/>
        </w:numPr>
        <w:spacing w:before="80"/>
        <w:ind w:firstLine="720"/>
        <w:jc w:val="both"/>
        <w:rPr>
          <w:bCs/>
          <w:iCs/>
          <w:sz w:val="28"/>
          <w:szCs w:val="28"/>
          <w:lang w:val="nl-NL"/>
        </w:rPr>
      </w:pPr>
      <w:r>
        <w:rPr>
          <w:bCs/>
          <w:iCs/>
          <w:sz w:val="28"/>
          <w:szCs w:val="28"/>
          <w:lang w:val="en-US"/>
        </w:rPr>
        <w:t>-</w:t>
      </w:r>
      <w:r>
        <w:rPr>
          <w:bCs/>
          <w:iCs/>
          <w:sz w:val="28"/>
          <w:szCs w:val="28"/>
        </w:rPr>
        <w:t xml:space="preserve"> Công tác đo đạc thành lập bản đồ địa chính, lập hồ sơ địa chính, cấp giấy chứng nhận quyền sử dụng đất, quyền sở hữu nhà ở và tài sản khác gắn liền với đất và xây dựng cơ sở dữ liệu quản lý đất đai trên địa bàn tỉnh đạt tỷ lệ thấp; các xã được đo đạc từ  năm 2005 trở về trước đến nay hiện trạng sử dụng đất đã biến động nhiều so với bản đồ đã được thành lập do không được cập nhật, chỉnh lý thường xuyên gây khó khăn trong công tác quản lý Nhà nước về đất đai của địa phương. Nguồn nhân lực cán bộ quản lý tài nguyên và môi trường ở cấp huyện, đặc biệt ở cấp xã cơ bản không được đào tạo chuyên ngành về lĩnh vực đo đạc và bản đồ do đó việc cập nhật, chỉnh lý biến động về đất đai hàng năm đối với các sản phẩm đã được đo đạc thành lập bản đồ chưa kịp thời và đảm bảo theo yêu cầu,</w:t>
      </w:r>
      <w:r>
        <w:rPr>
          <w:bCs/>
          <w:iCs/>
          <w:sz w:val="28"/>
          <w:szCs w:val="28"/>
          <w:lang w:val="nl-NL"/>
        </w:rPr>
        <w:t xml:space="preserve"> kinh phí thực hiện cho việc </w:t>
      </w:r>
      <w:r>
        <w:rPr>
          <w:bCs/>
          <w:iCs/>
          <w:sz w:val="28"/>
          <w:szCs w:val="28"/>
        </w:rPr>
        <w:t xml:space="preserve">đo đạc bản đồ địa chính, lập hồ sơ địa chính và cấp giấy chứng nhận quyền sử dụng đất, quyền sở hữu nhà ở và tài sản khắc gắn liền với đất và xây dựng cơ sở dữ liệu địa chính </w:t>
      </w:r>
      <w:r>
        <w:rPr>
          <w:bCs/>
          <w:iCs/>
          <w:sz w:val="28"/>
          <w:szCs w:val="28"/>
          <w:lang w:val="nl-NL"/>
        </w:rPr>
        <w:t xml:space="preserve">còn hạn chế nguồn kinh phí chủ yếu phụ thuộc vào nguồn ngân sách của Trung ương hỗ trợ nên còn nhiều xã chưa được đo đạc thành lập bản đồ địa chính. </w:t>
      </w:r>
    </w:p>
    <w:p>
      <w:pPr>
        <w:shd w:val="clear" w:color="auto" w:fill="FFFFFF"/>
        <w:spacing w:before="80"/>
        <w:ind w:firstLine="720"/>
        <w:jc w:val="both"/>
        <w:textAlignment w:val="baseline"/>
        <w:rPr>
          <w:bCs/>
          <w:spacing w:val="-4"/>
          <w:sz w:val="28"/>
          <w:szCs w:val="28"/>
          <w:lang w:val="it-IT"/>
        </w:rPr>
      </w:pPr>
      <w:r>
        <w:rPr>
          <w:bCs/>
          <w:iCs/>
          <w:sz w:val="28"/>
          <w:szCs w:val="28"/>
          <w:lang w:val="nl-NL"/>
        </w:rPr>
        <w:t xml:space="preserve">- </w:t>
      </w:r>
      <w:r>
        <w:rPr>
          <w:sz w:val="28"/>
          <w:szCs w:val="28"/>
        </w:rPr>
        <w:t xml:space="preserve">Trên địa bàn tỉnh Điện Biên hiện nay mới xây dựng được cơ sở dữ liệu địa chính của 20/119 đơn vị cấp xã </w:t>
      </w:r>
      <w:r>
        <w:rPr>
          <w:i/>
          <w:sz w:val="28"/>
          <w:szCs w:val="28"/>
        </w:rPr>
        <w:t>(trong đó 12 xã tại huyện Tủa Chùa chưa được sử dụng vận hành do chưa được đầu tư cơ sở hạ tầng trang thiết bị máy móc</w:t>
      </w:r>
      <w:r>
        <w:rPr>
          <w:i/>
          <w:sz w:val="28"/>
          <w:szCs w:val="28"/>
          <w:lang w:val="en-US"/>
        </w:rPr>
        <w:t>, đường truyền và đào tạo chuyển giao phần mềm</w:t>
      </w:r>
      <w:r>
        <w:rPr>
          <w:i/>
          <w:sz w:val="28"/>
          <w:szCs w:val="28"/>
        </w:rPr>
        <w:t>)</w:t>
      </w:r>
      <w:r>
        <w:rPr>
          <w:sz w:val="28"/>
          <w:szCs w:val="28"/>
          <w:lang w:val="en-US"/>
        </w:rPr>
        <w:t xml:space="preserve">, </w:t>
      </w:r>
      <w:r>
        <w:rPr>
          <w:bCs/>
          <w:color w:val="000000"/>
          <w:sz w:val="28"/>
          <w:szCs w:val="28"/>
          <w:lang w:val="nb-NO"/>
        </w:rPr>
        <w:t xml:space="preserve">hiện nay còn 80 xã </w:t>
      </w:r>
      <w:r>
        <w:rPr>
          <w:color w:val="000000"/>
          <w:sz w:val="28"/>
          <w:szCs w:val="28"/>
          <w:lang w:eastAsia="vi-VN"/>
        </w:rPr>
        <w:t>chưa hoàn thiện đo đạc thành lập bản đồ địa chính chính quy và cấp giấy chứng nhận quyền sử dụng đất lần đầu</w:t>
      </w:r>
      <w:r>
        <w:rPr>
          <w:color w:val="000000"/>
          <w:sz w:val="28"/>
          <w:szCs w:val="28"/>
          <w:lang w:val="en-US" w:eastAsia="vi-VN"/>
        </w:rPr>
        <w:t xml:space="preserve"> gồm </w:t>
      </w:r>
      <w:r>
        <w:rPr>
          <w:sz w:val="28"/>
          <w:szCs w:val="28"/>
        </w:rPr>
        <w:t>Nậm Pồ (15 xã); Điện Biên (21 xã), Mường Chà (11 xã); Tuần Giáo (18 xã); Điện Biên Đông: gồm 05 xã: Xa Dung, Háng Lìa, Tìa Dình, Phình Giàng, Pú Hồng; Mường Nhé (4 xã); Mường Ảng (2 xã); thành phố Điện Biên Phủ: 4 xã (Nà Tấu, Nà Nhạn, Pa Khoang, Mường Phăng)</w:t>
      </w:r>
      <w:r>
        <w:rPr>
          <w:sz w:val="28"/>
          <w:szCs w:val="28"/>
          <w:lang w:val="en-US"/>
        </w:rPr>
        <w:t xml:space="preserve"> </w:t>
      </w:r>
      <w:r>
        <w:rPr>
          <w:color w:val="000000"/>
          <w:sz w:val="28"/>
          <w:szCs w:val="28"/>
          <w:lang w:val="en-US" w:eastAsia="vi-VN"/>
        </w:rPr>
        <w:t>và 1</w:t>
      </w:r>
      <w:r>
        <w:rPr>
          <w:color w:val="000000"/>
          <w:sz w:val="28"/>
          <w:szCs w:val="28"/>
          <w:lang w:eastAsia="vi-VN"/>
        </w:rPr>
        <w:t>9 xã đã được đo đạc thành lập bản đồ địa chính, cấp giấy chứng nhận quyền sử dụng đất lần đầu nhưn</w:t>
      </w:r>
      <w:r>
        <w:rPr>
          <w:color w:val="000000"/>
          <w:sz w:val="28"/>
          <w:szCs w:val="28"/>
          <w:lang w:val="en-US" w:eastAsia="vi-VN"/>
        </w:rPr>
        <w:t>g</w:t>
      </w:r>
      <w:r>
        <w:rPr>
          <w:bCs/>
          <w:spacing w:val="-4"/>
          <w:sz w:val="28"/>
          <w:szCs w:val="28"/>
          <w:lang w:val="it-IT"/>
        </w:rPr>
        <w:t xml:space="preserve"> chưa được xây dựng cơ sở dữ liệu đất đai.</w:t>
      </w:r>
    </w:p>
    <w:p>
      <w:pPr>
        <w:numPr>
          <w:ilvl w:val="12"/>
          <w:numId w:val="0"/>
        </w:numPr>
        <w:spacing w:before="80"/>
        <w:ind w:firstLine="720"/>
        <w:jc w:val="both"/>
        <w:rPr>
          <w:sz w:val="28"/>
          <w:szCs w:val="28"/>
          <w:lang w:val="en-US"/>
        </w:rPr>
      </w:pPr>
      <w:r>
        <w:rPr>
          <w:sz w:val="28"/>
          <w:szCs w:val="28"/>
          <w:lang w:val="en-US"/>
        </w:rPr>
        <w:t xml:space="preserve">- </w:t>
      </w:r>
      <w:r>
        <w:rPr>
          <w:sz w:val="28"/>
          <w:szCs w:val="28"/>
        </w:rPr>
        <w:t>Đ</w:t>
      </w:r>
      <w:r>
        <w:rPr>
          <w:sz w:val="28"/>
          <w:szCs w:val="28"/>
          <w:lang w:val="en-US"/>
        </w:rPr>
        <w:t>ề</w:t>
      </w:r>
      <w:r>
        <w:rPr>
          <w:sz w:val="28"/>
          <w:szCs w:val="28"/>
        </w:rPr>
        <w:t xml:space="preserve"> án Tăng cường quản lý đối với đất đai có nguồn gốc từ các nông, lâm trường quốc doanh hiện do các công ty nông nghiệp, công ty lâm nghiệp không thuộc diện sắp xếp lại theo N</w:t>
      </w:r>
      <w:r>
        <w:rPr>
          <w:sz w:val="28"/>
          <w:szCs w:val="28"/>
          <w:lang w:val="en-US"/>
        </w:rPr>
        <w:t>g</w:t>
      </w:r>
      <w:r>
        <w:rPr>
          <w:sz w:val="28"/>
          <w:szCs w:val="28"/>
        </w:rPr>
        <w:t xml:space="preserve">hị định số 118/2014/NĐ-CP, ban quản lý rừng và các tổ chức sự nghiệp khác, hộ gia đình, cá nhân sử dụng trên địa bàn tỉnh Điện Biên được lập và phê duyệt tại Quyết định 304/QĐ-UBND ngày 10 tháng 4 năm </w:t>
      </w:r>
      <w:r>
        <w:rPr>
          <w:sz w:val="28"/>
          <w:szCs w:val="28"/>
        </w:rPr>
        <w:lastRenderedPageBreak/>
        <w:t xml:space="preserve">2017. Tuy nhiên đến nay vẫn chưa được tổ chức thực hiện, </w:t>
      </w:r>
      <w:r>
        <w:rPr>
          <w:sz w:val="28"/>
          <w:szCs w:val="28"/>
          <w:lang w:val="en-US"/>
        </w:rPr>
        <w:t>do</w:t>
      </w:r>
      <w:r>
        <w:rPr>
          <w:sz w:val="28"/>
          <w:szCs w:val="28"/>
        </w:rPr>
        <w:t xml:space="preserve"> chưa được bố trí kinh phí và</w:t>
      </w:r>
      <w:r>
        <w:rPr>
          <w:sz w:val="28"/>
          <w:szCs w:val="28"/>
          <w:lang w:val="en-US"/>
        </w:rPr>
        <w:t xml:space="preserve"> c</w:t>
      </w:r>
      <w:r>
        <w:rPr>
          <w:sz w:val="28"/>
          <w:szCs w:val="28"/>
        </w:rPr>
        <w:t>hưa rà soát, xác định r</w:t>
      </w:r>
      <w:r>
        <w:rPr>
          <w:sz w:val="28"/>
          <w:szCs w:val="28"/>
          <w:lang w:val="en-US"/>
        </w:rPr>
        <w:t>õ</w:t>
      </w:r>
      <w:r>
        <w:rPr>
          <w:sz w:val="28"/>
          <w:szCs w:val="28"/>
        </w:rPr>
        <w:t xml:space="preserve"> ràng về nguồn gốc sử dụng đất, hình thức sử dụng đất và tình hình sử dụng đất; Hệ thống hồ sơ, bản đồ chưa chính xác, đầy đủ theo đúng hiện trạng ranh giới các loại đất</w:t>
      </w:r>
      <w:r>
        <w:rPr>
          <w:sz w:val="28"/>
          <w:szCs w:val="28"/>
          <w:lang w:val="en-US"/>
        </w:rPr>
        <w:t xml:space="preserve"> </w:t>
      </w:r>
      <w:r>
        <w:rPr>
          <w:sz w:val="28"/>
          <w:szCs w:val="28"/>
        </w:rPr>
        <w:t>thuộc t</w:t>
      </w:r>
      <w:r>
        <w:rPr>
          <w:sz w:val="28"/>
          <w:szCs w:val="28"/>
          <w:lang w:val="en-US"/>
        </w:rPr>
        <w:t>ổ</w:t>
      </w:r>
      <w:r>
        <w:rPr>
          <w:sz w:val="28"/>
          <w:szCs w:val="28"/>
        </w:rPr>
        <w:t xml:space="preserve"> chức, cộng đồng dân cư, hộ gia đình, cá nhân quản lý, sử dụng</w:t>
      </w:r>
      <w:r>
        <w:rPr>
          <w:sz w:val="28"/>
          <w:szCs w:val="28"/>
          <w:lang w:val="en-US"/>
        </w:rPr>
        <w:t>.</w:t>
      </w:r>
    </w:p>
    <w:p>
      <w:pPr>
        <w:pStyle w:val="BodyText"/>
        <w:spacing w:before="60" w:after="60" w:line="288" w:lineRule="auto"/>
        <w:ind w:right="0" w:firstLine="567"/>
        <w:rPr>
          <w:b/>
          <w:bCs/>
          <w:spacing w:val="-4"/>
          <w:lang w:val="en-US"/>
        </w:rPr>
      </w:pPr>
      <w:r>
        <w:rPr>
          <w:b/>
          <w:lang w:val="en-US"/>
        </w:rPr>
        <w:t>2.</w:t>
      </w:r>
      <w:r>
        <w:rPr>
          <w:b/>
        </w:rPr>
        <w:t xml:space="preserve"> Giải pháp để thực hiện</w:t>
      </w:r>
    </w:p>
    <w:p>
      <w:pPr>
        <w:pStyle w:val="BodyText"/>
        <w:spacing w:before="60" w:after="60" w:line="288" w:lineRule="auto"/>
        <w:ind w:right="0" w:firstLine="567"/>
        <w:rPr>
          <w:bCs/>
          <w:iCs/>
          <w:lang w:val="en-US"/>
        </w:rPr>
      </w:pPr>
      <w:r>
        <w:rPr>
          <w:lang w:val="en-US"/>
        </w:rPr>
        <w:t xml:space="preserve">Để dảm bảo xây dựng </w:t>
      </w:r>
      <w:r>
        <w:rPr>
          <w:bCs/>
          <w:iCs/>
        </w:rPr>
        <w:t>cơ sở dữ liệu</w:t>
      </w:r>
      <w:r>
        <w:rPr>
          <w:bCs/>
          <w:iCs/>
          <w:lang w:val="en-US"/>
        </w:rPr>
        <w:t xml:space="preserve"> về đất đai kết nối với Cơ sở dự liệu quốc gia về đất đai và cơ sở dự liệu quốc gia về dân cư theo chỉ đạo của </w:t>
      </w:r>
      <w:r>
        <w:rPr>
          <w:lang w:val="en-US"/>
        </w:rPr>
        <w:t>Thủ tướng chính phủ tại Chỉ thị số 04/CT-TTg ngày 11/02/2024.</w:t>
      </w:r>
      <w:r>
        <w:rPr>
          <w:bCs/>
          <w:iCs/>
          <w:lang w:val="en-US"/>
        </w:rPr>
        <w:t xml:space="preserve"> </w:t>
      </w:r>
    </w:p>
    <w:p>
      <w:pPr>
        <w:pStyle w:val="BodyText"/>
        <w:spacing w:before="60" w:after="60" w:line="288" w:lineRule="auto"/>
        <w:ind w:right="0" w:firstLine="567"/>
        <w:rPr>
          <w:bCs/>
          <w:spacing w:val="-4"/>
          <w:lang w:val="en-US"/>
        </w:rPr>
      </w:pPr>
      <w:r>
        <w:rPr>
          <w:bCs/>
          <w:iCs/>
          <w:lang w:val="en-US"/>
        </w:rPr>
        <w:t xml:space="preserve">- </w:t>
      </w:r>
      <w:r>
        <w:t xml:space="preserve">Sở Tài nguyên và Môi trường </w:t>
      </w:r>
      <w:r>
        <w:rPr>
          <w:lang w:val="en-US"/>
        </w:rPr>
        <w:t xml:space="preserve">đang tiến hành khảo sát lập hồ sơ thiết kế </w:t>
      </w:r>
      <w:r>
        <w:rPr>
          <w:bCs/>
          <w:iCs/>
        </w:rPr>
        <w:t xml:space="preserve">đo đạc bản đồ địa chính, lập hồ sơ địa chính và cấp giấy chứng nhận quyền sử dụng đất, quyền sở hữu nhà ở và tài sản khắc gắn liền với đất và xây dựng cơ sở dữ liệu địa chính </w:t>
      </w:r>
      <w:r>
        <w:rPr>
          <w:bCs/>
          <w:iCs/>
          <w:lang w:val="en-US"/>
        </w:rPr>
        <w:t xml:space="preserve">đối với </w:t>
      </w:r>
      <w:r>
        <w:rPr>
          <w:bCs/>
          <w:color w:val="000000"/>
          <w:lang w:val="nb-NO"/>
        </w:rPr>
        <w:t xml:space="preserve">80 xã </w:t>
      </w:r>
      <w:r>
        <w:rPr>
          <w:color w:val="000000"/>
          <w:lang w:eastAsia="vi-VN"/>
        </w:rPr>
        <w:t xml:space="preserve">chưa </w:t>
      </w:r>
      <w:r>
        <w:rPr>
          <w:color w:val="000000"/>
          <w:lang w:val="en-US" w:eastAsia="vi-VN"/>
        </w:rPr>
        <w:t>được</w:t>
      </w:r>
      <w:r>
        <w:rPr>
          <w:color w:val="000000"/>
          <w:lang w:eastAsia="vi-VN"/>
        </w:rPr>
        <w:t xml:space="preserve"> đo đạc thành lập bản đồ địa chính chính quy và cấp giấy chứng nhận quyền sử dụng đất lần đầu</w:t>
      </w:r>
      <w:r>
        <w:rPr>
          <w:color w:val="000000"/>
          <w:lang w:val="en-US" w:eastAsia="vi-VN"/>
        </w:rPr>
        <w:t xml:space="preserve"> </w:t>
      </w:r>
      <w:r>
        <w:rPr>
          <w:i/>
          <w:iCs/>
          <w:color w:val="000000"/>
          <w:lang w:val="en-US" w:eastAsia="vi-VN"/>
        </w:rPr>
        <w:t xml:space="preserve">(trong đó có </w:t>
      </w:r>
      <w:r>
        <w:rPr>
          <w:i/>
          <w:iCs/>
          <w:lang w:val="en-US"/>
        </w:rPr>
        <w:t>29</w:t>
      </w:r>
      <w:r>
        <w:rPr>
          <w:i/>
          <w:lang w:val="en-US"/>
        </w:rPr>
        <w:t xml:space="preserve"> xã biên giới do Bộ </w:t>
      </w:r>
      <w:r>
        <w:rPr>
          <w:i/>
        </w:rPr>
        <w:t xml:space="preserve">Tài nguyên và Môi trường </w:t>
      </w:r>
      <w:r>
        <w:rPr>
          <w:i/>
          <w:lang w:val="en-US"/>
        </w:rPr>
        <w:t xml:space="preserve">thực hiện theo </w:t>
      </w:r>
      <w:r>
        <w:rPr>
          <w:i/>
        </w:rPr>
        <w:t>Quyết định số 101/QĐ-TTg ngày 26/12/2019 của Thủ tướng Chính phủ</w:t>
      </w:r>
      <w:r>
        <w:rPr>
          <w:i/>
          <w:lang w:val="en-US"/>
        </w:rPr>
        <w:t>)</w:t>
      </w:r>
      <w:r>
        <w:rPr>
          <w:lang w:val="en-US"/>
        </w:rPr>
        <w:t xml:space="preserve">. Dự kiến kinh phí khoảng </w:t>
      </w:r>
      <w:r>
        <w:t>185,06 tỷ đồng</w:t>
      </w:r>
      <w:r>
        <w:rPr>
          <w:lang w:val="en-US"/>
        </w:rPr>
        <w:t xml:space="preserve"> đề nghị Trung ương hỗ trợ; ngân sách địa phương đảm bảo 10%. Hiện tại, </w:t>
      </w:r>
      <w:r>
        <w:t>Sở Tài nguyên và Môi trường</w:t>
      </w:r>
      <w:r>
        <w:rPr>
          <w:lang w:val="en-US"/>
        </w:rPr>
        <w:t xml:space="preserve"> đã báo cáo </w:t>
      </w:r>
      <w:r>
        <w:t xml:space="preserve">Bộ Tài nguyên và Môi trường đề xuất nhu cầu hỗ trợ kinh phí từ ngân sách Trung ương thực hiện nhiệm vụ, đề án do Bộ Tài nguyên và Môi trường quản lý </w:t>
      </w:r>
      <w:r>
        <w:rPr>
          <w:lang w:val="en-US"/>
        </w:rPr>
        <w:t xml:space="preserve">tại </w:t>
      </w:r>
      <w:r>
        <w:rPr>
          <w:bCs/>
          <w:spacing w:val="-4"/>
          <w:lang w:val="en-US"/>
        </w:rPr>
        <w:t>Báo cáo số 53/BC-STNMT ngày 26/02/2024.</w:t>
      </w:r>
    </w:p>
    <w:p>
      <w:pPr>
        <w:pStyle w:val="BodyText"/>
        <w:spacing w:before="60" w:after="60" w:line="288" w:lineRule="auto"/>
        <w:ind w:right="0" w:firstLine="567"/>
        <w:rPr>
          <w:lang w:val="en-US"/>
        </w:rPr>
      </w:pPr>
      <w:r>
        <w:t xml:space="preserve">- Sở Tài nguyên và Môi trường </w:t>
      </w:r>
      <w:r>
        <w:rPr>
          <w:lang w:val="en-US"/>
        </w:rPr>
        <w:t>đang t</w:t>
      </w:r>
      <w:r>
        <w:t xml:space="preserve">ổng hợp tổng số hồ </w:t>
      </w:r>
      <w:r>
        <w:rPr>
          <w:lang w:val="en-US"/>
        </w:rPr>
        <w:t xml:space="preserve">sơ và </w:t>
      </w:r>
      <w:r>
        <w:t>kết quả giải quyết thủ tục hành chính</w:t>
      </w:r>
      <w:r>
        <w:rPr>
          <w:b/>
          <w:bCs/>
        </w:rPr>
        <w:t xml:space="preserve"> </w:t>
      </w:r>
      <w:r>
        <w:t>còn hiệu lực đang được quản lý bằng bản giấy của các phòng, đơn vị trực thuộc Sở v</w:t>
      </w:r>
      <w:r>
        <w:rPr>
          <w:lang w:val="en-US"/>
        </w:rPr>
        <w:t>à</w:t>
      </w:r>
      <w:r>
        <w:t xml:space="preserve"> xây dựng</w:t>
      </w:r>
      <w:r>
        <w:rPr>
          <w:b/>
          <w:bCs/>
        </w:rPr>
        <w:t xml:space="preserve"> </w:t>
      </w:r>
      <w:r>
        <w:t>đề cương và dự toán chi tiết “Số hóa kết quả giải quyết thủ tục hành chính còn hiệu lực thuộc thẩm quyền giải quyết của Sở Tài nguyên và Môi trường đến năm 2025”</w:t>
      </w:r>
      <w:r>
        <w:rPr>
          <w:lang w:val="en-US"/>
        </w:rPr>
        <w:t>.</w:t>
      </w:r>
    </w:p>
    <w:p>
      <w:pPr>
        <w:spacing w:before="120"/>
        <w:ind w:firstLine="709"/>
        <w:rPr>
          <w:b/>
          <w:spacing w:val="-4"/>
          <w:sz w:val="28"/>
          <w:szCs w:val="28"/>
          <w:lang w:val="it-IT"/>
        </w:rPr>
      </w:pPr>
      <w:r>
        <w:rPr>
          <w:b/>
          <w:spacing w:val="-4"/>
          <w:sz w:val="28"/>
          <w:szCs w:val="28"/>
          <w:lang w:val="it-IT"/>
        </w:rPr>
        <w:t>3. Kiến nghị đề xuất</w:t>
      </w:r>
    </w:p>
    <w:p>
      <w:pPr>
        <w:spacing w:before="120"/>
        <w:ind w:firstLine="709"/>
        <w:jc w:val="both"/>
        <w:rPr>
          <w:sz w:val="28"/>
          <w:szCs w:val="28"/>
          <w:lang w:val="en-US"/>
        </w:rPr>
      </w:pPr>
      <w:r>
        <w:rPr>
          <w:bCs/>
          <w:spacing w:val="-4"/>
          <w:sz w:val="28"/>
          <w:szCs w:val="28"/>
          <w:lang w:val="it-IT"/>
        </w:rPr>
        <w:t>Để sớm hoàn thành việc</w:t>
      </w:r>
      <w:r>
        <w:rPr>
          <w:sz w:val="28"/>
          <w:szCs w:val="28"/>
          <w:lang w:val="es-ES" w:eastAsia="x-none"/>
        </w:rPr>
        <w:t xml:space="preserve"> </w:t>
      </w:r>
      <w:r>
        <w:rPr>
          <w:sz w:val="28"/>
          <w:szCs w:val="28"/>
        </w:rPr>
        <w:t xml:space="preserve">xây dựng cơ sở dữ liệu đất đai một cách đồng bộ và kết nối liên thông theo </w:t>
      </w:r>
      <w:r>
        <w:rPr>
          <w:sz w:val="28"/>
          <w:szCs w:val="28"/>
          <w:lang w:val="en-US"/>
        </w:rPr>
        <w:t xml:space="preserve">chỉ đạo của Thủ tướng chính phủ tại Chỉ thị số 04/CT-TTg ngày 11/02/2024 Sở Tài nguyên và môi trường kính đề nghị </w:t>
      </w:r>
      <w:r>
        <w:rPr>
          <w:sz w:val="28"/>
          <w:szCs w:val="28"/>
        </w:rPr>
        <w:t xml:space="preserve">Ủy ban nhân dân tỉnh </w:t>
      </w:r>
      <w:r>
        <w:rPr>
          <w:sz w:val="28"/>
          <w:szCs w:val="28"/>
          <w:lang w:val="en-US"/>
        </w:rPr>
        <w:t>Điện Biên</w:t>
      </w:r>
      <w:r>
        <w:rPr>
          <w:sz w:val="28"/>
          <w:szCs w:val="28"/>
        </w:rPr>
        <w:t xml:space="preserve"> </w:t>
      </w:r>
      <w:r>
        <w:rPr>
          <w:sz w:val="28"/>
          <w:szCs w:val="28"/>
          <w:lang w:val="en-US"/>
        </w:rPr>
        <w:t>chỉ đạo một số nội dung như sau:</w:t>
      </w:r>
    </w:p>
    <w:p>
      <w:pPr>
        <w:pStyle w:val="BodyText"/>
        <w:spacing w:before="60" w:after="60" w:line="288" w:lineRule="auto"/>
        <w:ind w:right="0" w:firstLine="567"/>
        <w:rPr>
          <w:bCs/>
          <w:color w:val="FF0000"/>
          <w:spacing w:val="-4"/>
          <w:lang w:val="en-US"/>
        </w:rPr>
      </w:pPr>
      <w:r>
        <w:rPr>
          <w:bCs/>
          <w:color w:val="FF0000"/>
          <w:spacing w:val="-4"/>
          <w:lang w:val="en-US"/>
        </w:rPr>
        <w:t xml:space="preserve">- </w:t>
      </w:r>
      <w:r>
        <w:rPr>
          <w:bCs/>
        </w:rPr>
        <w:t xml:space="preserve">UBND tỉnh bố trí đủ kinh phí từ ngân sách địa phương, bảo đảm dành tối thiểu 10% tổng số thu từ tiền sử dụng đất, tiền thuê đất để đầu tư cho công tác đo đạc, đăng ký đất đai, cấp Giấy chứng nhận, xây dựng cơ sở dữ liệu đất đai và đăng ký biến động, chỉnh lý hồ sơ địa chính </w:t>
      </w:r>
      <w:r>
        <w:rPr>
          <w:bCs/>
          <w:lang w:val="en-US"/>
        </w:rPr>
        <w:t>để Sở thực hiện xây dựng các dự án về cơ sở dữ liệu đất đai trên địa bàn tỉnh</w:t>
      </w:r>
      <w:r>
        <w:rPr>
          <w:bCs/>
        </w:rPr>
        <w:t xml:space="preserve">. </w:t>
      </w:r>
    </w:p>
    <w:p>
      <w:pPr>
        <w:pStyle w:val="BodyText"/>
        <w:spacing w:before="60" w:after="60" w:line="288" w:lineRule="auto"/>
        <w:ind w:right="0" w:firstLine="567"/>
        <w:rPr>
          <w:bCs/>
          <w:spacing w:val="-4"/>
          <w:lang w:val="en-US"/>
        </w:rPr>
      </w:pPr>
      <w:r>
        <w:rPr>
          <w:bCs/>
          <w:spacing w:val="-4"/>
          <w:lang w:val="en-US"/>
        </w:rPr>
        <w:t xml:space="preserve">- Sau khi dự án </w:t>
      </w:r>
      <w:r>
        <w:rPr>
          <w:lang w:val="en-US"/>
        </w:rPr>
        <w:t xml:space="preserve">lập hồ sơ thiết kế </w:t>
      </w:r>
      <w:r>
        <w:rPr>
          <w:bCs/>
          <w:iCs/>
        </w:rPr>
        <w:t xml:space="preserve">đo đạc bản đồ địa chính, lập hồ sơ địa </w:t>
      </w:r>
      <w:r>
        <w:rPr>
          <w:bCs/>
          <w:iCs/>
        </w:rPr>
        <w:lastRenderedPageBreak/>
        <w:t xml:space="preserve">chính và cấp giấy chứng nhận quyền sử dụng đất, quyền sở hữu nhà ở và tài sản khắc gắn liền với đất và xây dựng cơ sở dữ liệu địa chính </w:t>
      </w:r>
      <w:r>
        <w:rPr>
          <w:bCs/>
          <w:iCs/>
          <w:lang w:val="en-US"/>
        </w:rPr>
        <w:t xml:space="preserve">đối với </w:t>
      </w:r>
      <w:r>
        <w:rPr>
          <w:bCs/>
          <w:lang w:val="nb-NO"/>
        </w:rPr>
        <w:t xml:space="preserve">51 xã </w:t>
      </w:r>
      <w:r>
        <w:rPr>
          <w:lang w:eastAsia="vi-VN"/>
        </w:rPr>
        <w:t xml:space="preserve">chưa </w:t>
      </w:r>
      <w:r>
        <w:rPr>
          <w:lang w:val="en-US" w:eastAsia="vi-VN"/>
        </w:rPr>
        <w:t>được</w:t>
      </w:r>
      <w:r>
        <w:rPr>
          <w:lang w:eastAsia="vi-VN"/>
        </w:rPr>
        <w:t xml:space="preserve"> đo đạc thành lập bản đồ địa chính chính quy và cấp giấy chứng nhận quyền sử dụng đất lần đầu</w:t>
      </w:r>
      <w:r>
        <w:rPr>
          <w:lang w:val="en-US" w:eastAsia="vi-VN"/>
        </w:rPr>
        <w:t xml:space="preserve"> được phê duyệt đề nghị UBND tỉnh c</w:t>
      </w:r>
      <w:r>
        <w:rPr>
          <w:bCs/>
          <w:spacing w:val="-4"/>
          <w:lang w:val="en-US"/>
        </w:rPr>
        <w:t xml:space="preserve">ó văn bản đề nghị </w:t>
      </w:r>
      <w:r>
        <w:t>hỗ trợ kinh phí từ ngân sách Trung ương</w:t>
      </w:r>
      <w:r>
        <w:rPr>
          <w:lang w:val="en-US"/>
        </w:rPr>
        <w:t xml:space="preserve"> để</w:t>
      </w:r>
      <w:r>
        <w:t xml:space="preserve"> thực hiện nhiệm vụ</w:t>
      </w:r>
    </w:p>
    <w:p>
      <w:pPr>
        <w:spacing w:before="120"/>
        <w:ind w:right="3" w:firstLine="567"/>
        <w:jc w:val="both"/>
        <w:rPr>
          <w:color w:val="000000" w:themeColor="text1"/>
          <w:sz w:val="28"/>
          <w:szCs w:val="28"/>
          <w:shd w:val="clear" w:color="auto" w:fill="FFFFFF"/>
          <w:lang w:val="it-IT"/>
        </w:rPr>
      </w:pPr>
      <w:r>
        <w:rPr>
          <w:color w:val="000000" w:themeColor="text1"/>
          <w:sz w:val="28"/>
          <w:szCs w:val="28"/>
          <w:shd w:val="clear" w:color="auto" w:fill="FFFFFF"/>
          <w:lang w:val="it-IT"/>
        </w:rPr>
        <w:t>- Tiếp tục đẩy mạnh việc tuyên truyền, phổ biến giáo dục pháp luật về Đề án số 06, trong đó tập trung tuyên truyền về ý nghĩa, tầm quan trọng của việc triển khai, thực hiện đề án trong các cấp, các ngành, các tầng lớp nhân dân.</w:t>
      </w:r>
    </w:p>
    <w:p>
      <w:pPr>
        <w:spacing w:before="120"/>
        <w:ind w:right="3" w:firstLine="567"/>
        <w:jc w:val="both"/>
        <w:rPr>
          <w:color w:val="000000" w:themeColor="text1"/>
          <w:sz w:val="28"/>
          <w:szCs w:val="28"/>
          <w:shd w:val="clear" w:color="auto" w:fill="FFFFFF"/>
          <w:lang w:val="it-IT"/>
        </w:rPr>
      </w:pPr>
      <w:r>
        <w:rPr>
          <w:color w:val="000000" w:themeColor="text1"/>
          <w:sz w:val="28"/>
          <w:szCs w:val="28"/>
          <w:shd w:val="clear" w:color="auto" w:fill="FFFFFF"/>
          <w:lang w:val="it-IT"/>
        </w:rPr>
        <w:t>- Tăng cường sự phố hợp giữa các ngành, các địa phương trong tổ chức triển khai thực hiện; kiểm tra đôn đốc nhằm nâng cao tỷ lệ dịch vụ công trực tuyến.</w:t>
      </w:r>
    </w:p>
    <w:p>
      <w:pPr>
        <w:spacing w:before="120"/>
        <w:ind w:right="3" w:firstLine="567"/>
        <w:jc w:val="both"/>
        <w:rPr>
          <w:color w:val="000000" w:themeColor="text1"/>
          <w:sz w:val="28"/>
          <w:szCs w:val="28"/>
          <w:shd w:val="clear" w:color="auto" w:fill="FFFFFF"/>
          <w:lang w:val="it-IT"/>
        </w:rPr>
      </w:pPr>
      <w:r>
        <w:rPr>
          <w:color w:val="000000" w:themeColor="text1"/>
          <w:sz w:val="28"/>
          <w:szCs w:val="28"/>
          <w:shd w:val="clear" w:color="auto" w:fill="FFFFFF"/>
          <w:lang w:val="it-IT"/>
        </w:rPr>
        <w:t>- Tập huấn cho cán bộ, công chức, viên chức trong thực hiện nhiệm vụ của Đề án 06.</w:t>
      </w:r>
    </w:p>
    <w:p>
      <w:pPr>
        <w:spacing w:before="60" w:after="60" w:line="288" w:lineRule="auto"/>
        <w:ind w:firstLine="567"/>
        <w:jc w:val="both"/>
        <w:rPr>
          <w:b/>
          <w:iCs/>
          <w:sz w:val="28"/>
          <w:szCs w:val="28"/>
          <w:lang w:val="en-US"/>
        </w:rPr>
      </w:pPr>
      <w:r>
        <w:rPr>
          <w:b/>
          <w:iCs/>
          <w:sz w:val="28"/>
          <w:szCs w:val="28"/>
          <w:lang w:val="en-US"/>
        </w:rPr>
        <w:t>Trên đây là nội dung tham luận của Sở Tài nguyên và Môi trường/.</w:t>
      </w:r>
    </w:p>
    <w:p>
      <w:pPr>
        <w:spacing w:before="60" w:after="60" w:line="288" w:lineRule="auto"/>
        <w:ind w:firstLine="567"/>
        <w:jc w:val="both"/>
        <w:rPr>
          <w:b/>
          <w:iCs/>
          <w:sz w:val="28"/>
          <w:szCs w:val="28"/>
          <w:lang w:val="en-US"/>
        </w:rPr>
      </w:pPr>
      <w:r>
        <w:rPr>
          <w:b/>
          <w:iCs/>
          <w:sz w:val="28"/>
          <w:szCs w:val="28"/>
          <w:lang w:val="en-US"/>
        </w:rPr>
        <w:t>-----------------------------------//-----------------------------------------------------</w:t>
      </w:r>
    </w:p>
    <w:p/>
    <w:sectPr>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ootnoteText"/>
        <w:rPr>
          <w:rFonts w:ascii="Times New Roman" w:hAnsi="Times New Roman"/>
        </w:rPr>
      </w:pPr>
      <w:r>
        <w:rPr>
          <w:rFonts w:ascii="Times New Roman" w:hAnsi="Times New Roman"/>
          <w:color w:val="0070C0"/>
          <w:sz w:val="24"/>
        </w:rPr>
        <w:tab/>
      </w:r>
      <w:r>
        <w:rPr>
          <w:rStyle w:val="FootnoteReference"/>
          <w:rFonts w:ascii="Times New Roman" w:hAnsi="Times New Roman"/>
          <w:spacing w:val="-2"/>
        </w:rPr>
        <w:footnoteRef/>
      </w:r>
      <w:r>
        <w:rPr>
          <w:rFonts w:ascii="Times New Roman" w:hAnsi="Times New Roman"/>
          <w:spacing w:val="-2"/>
        </w:rPr>
        <w:t xml:space="preserve"> Công văn số 3595/BTNMT-CNTT ngày 01/7/2021 của Bộ Tài nguyên và Môi trường về việc triển khai kết nối, liên thông dữ liệu đất  đai địa phương với Hệ thống tích hợp, kết  nối, chia sẻ dữ liệu đất đai quốc gia</w:t>
      </w:r>
      <w:r>
        <w:rPr>
          <w:rFonts w:ascii="Times New Roman" w:hAnsi="Times New Roman"/>
        </w:rPr>
        <w:t>.</w:t>
      </w:r>
    </w:p>
  </w:footnote>
  <w:footnote w:id="2">
    <w:p>
      <w:pPr>
        <w:pStyle w:val="FootnoteText"/>
        <w:rPr>
          <w:rFonts w:ascii="Times New Roman" w:hAnsi="Times New Roman"/>
        </w:rPr>
      </w:pPr>
      <w:r>
        <w:rPr>
          <w:rFonts w:ascii="Times New Roman" w:hAnsi="Times New Roman"/>
        </w:rPr>
        <w:tab/>
      </w:r>
      <w:r>
        <w:rPr>
          <w:rStyle w:val="FootnoteReference"/>
          <w:rFonts w:ascii="Times New Roman" w:hAnsi="Times New Roman"/>
        </w:rPr>
        <w:footnoteRef/>
      </w:r>
      <w:r>
        <w:rPr>
          <w:rFonts w:ascii="Times New Roman" w:hAnsi="Times New Roman"/>
        </w:rPr>
        <w:t xml:space="preserve">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w:t>
      </w:r>
      <w:r>
        <w:rPr>
          <w:rFonts w:ascii="Times New Roman" w:hAnsi="Times New Roman"/>
          <w:i/>
        </w:rPr>
        <w:t>(sau đây gọi tắt là Đề án 06/CP</w:t>
      </w:r>
      <w:r>
        <w:rPr>
          <w:rFonts w:ascii="Times New Roman" w:hAnsi="Times New Roman"/>
        </w:rPr>
        <w:t>) về kết nối, chia sẻ dữ liệu giữa Cơ  sở dữ liệu quốc gia về dân cư với Cơ sở dữ liệu quốc gia (CSDLQG) về đất đai.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D7B72"/>
    <w:multiLevelType w:val="hybridMultilevel"/>
    <w:tmpl w:val="1764BFBA"/>
    <w:lvl w:ilvl="0" w:tplc="45043ED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9B6660E"/>
    <w:multiLevelType w:val="hybridMultilevel"/>
    <w:tmpl w:val="F09ADC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F02E5"/>
    <w:multiLevelType w:val="hybridMultilevel"/>
    <w:tmpl w:val="76C4C398"/>
    <w:lvl w:ilvl="0" w:tplc="1EBC8998">
      <w:start w:val="1"/>
      <w:numFmt w:val="decimal"/>
      <w:lvlText w:val="(%1)"/>
      <w:lvlJc w:val="left"/>
      <w:pPr>
        <w:ind w:left="102" w:hanging="413"/>
      </w:pPr>
      <w:rPr>
        <w:rFonts w:ascii="Times New Roman" w:eastAsia="Times New Roman" w:hAnsi="Times New Roman" w:cs="Times New Roman" w:hint="default"/>
        <w:b w:val="0"/>
        <w:bCs w:val="0"/>
        <w:i w:val="0"/>
        <w:iCs w:val="0"/>
        <w:spacing w:val="0"/>
        <w:w w:val="100"/>
        <w:sz w:val="28"/>
        <w:szCs w:val="28"/>
        <w:lang w:val="vi" w:eastAsia="en-US" w:bidi="ar-SA"/>
      </w:rPr>
    </w:lvl>
    <w:lvl w:ilvl="1" w:tplc="F564BC36">
      <w:numFmt w:val="bullet"/>
      <w:lvlText w:val="•"/>
      <w:lvlJc w:val="left"/>
      <w:pPr>
        <w:ind w:left="1046" w:hanging="413"/>
      </w:pPr>
      <w:rPr>
        <w:rFonts w:hint="default"/>
        <w:lang w:val="vi" w:eastAsia="en-US" w:bidi="ar-SA"/>
      </w:rPr>
    </w:lvl>
    <w:lvl w:ilvl="2" w:tplc="EC867BB8">
      <w:numFmt w:val="bullet"/>
      <w:lvlText w:val="•"/>
      <w:lvlJc w:val="left"/>
      <w:pPr>
        <w:ind w:left="1993" w:hanging="413"/>
      </w:pPr>
      <w:rPr>
        <w:rFonts w:hint="default"/>
        <w:lang w:val="vi" w:eastAsia="en-US" w:bidi="ar-SA"/>
      </w:rPr>
    </w:lvl>
    <w:lvl w:ilvl="3" w:tplc="D0C49BA2">
      <w:numFmt w:val="bullet"/>
      <w:lvlText w:val="•"/>
      <w:lvlJc w:val="left"/>
      <w:pPr>
        <w:ind w:left="2940" w:hanging="413"/>
      </w:pPr>
      <w:rPr>
        <w:rFonts w:hint="default"/>
        <w:lang w:val="vi" w:eastAsia="en-US" w:bidi="ar-SA"/>
      </w:rPr>
    </w:lvl>
    <w:lvl w:ilvl="4" w:tplc="FAC2A194">
      <w:numFmt w:val="bullet"/>
      <w:lvlText w:val="•"/>
      <w:lvlJc w:val="left"/>
      <w:pPr>
        <w:ind w:left="3887" w:hanging="413"/>
      </w:pPr>
      <w:rPr>
        <w:rFonts w:hint="default"/>
        <w:lang w:val="vi" w:eastAsia="en-US" w:bidi="ar-SA"/>
      </w:rPr>
    </w:lvl>
    <w:lvl w:ilvl="5" w:tplc="4B58E99C">
      <w:numFmt w:val="bullet"/>
      <w:lvlText w:val="•"/>
      <w:lvlJc w:val="left"/>
      <w:pPr>
        <w:ind w:left="4834" w:hanging="413"/>
      </w:pPr>
      <w:rPr>
        <w:rFonts w:hint="default"/>
        <w:lang w:val="vi" w:eastAsia="en-US" w:bidi="ar-SA"/>
      </w:rPr>
    </w:lvl>
    <w:lvl w:ilvl="6" w:tplc="AD5E9A48">
      <w:numFmt w:val="bullet"/>
      <w:lvlText w:val="•"/>
      <w:lvlJc w:val="left"/>
      <w:pPr>
        <w:ind w:left="5781" w:hanging="413"/>
      </w:pPr>
      <w:rPr>
        <w:rFonts w:hint="default"/>
        <w:lang w:val="vi" w:eastAsia="en-US" w:bidi="ar-SA"/>
      </w:rPr>
    </w:lvl>
    <w:lvl w:ilvl="7" w:tplc="2C729F46">
      <w:numFmt w:val="bullet"/>
      <w:lvlText w:val="•"/>
      <w:lvlJc w:val="left"/>
      <w:pPr>
        <w:ind w:left="6728" w:hanging="413"/>
      </w:pPr>
      <w:rPr>
        <w:rFonts w:hint="default"/>
        <w:lang w:val="vi" w:eastAsia="en-US" w:bidi="ar-SA"/>
      </w:rPr>
    </w:lvl>
    <w:lvl w:ilvl="8" w:tplc="DA4C2C9C">
      <w:numFmt w:val="bullet"/>
      <w:lvlText w:val="•"/>
      <w:lvlJc w:val="left"/>
      <w:pPr>
        <w:ind w:left="7675" w:hanging="413"/>
      </w:pPr>
      <w:rPr>
        <w:rFonts w:hint="default"/>
        <w:lang w:val="vi" w:eastAsia="en-US" w:bidi="ar-SA"/>
      </w:rPr>
    </w:lvl>
  </w:abstractNum>
  <w:abstractNum w:abstractNumId="3" w15:restartNumberingAfterBreak="0">
    <w:nsid w:val="3A231D4F"/>
    <w:multiLevelType w:val="hybridMultilevel"/>
    <w:tmpl w:val="70DAB396"/>
    <w:lvl w:ilvl="0" w:tplc="DA78B2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A1A78"/>
    <w:multiLevelType w:val="hybridMultilevel"/>
    <w:tmpl w:val="E836063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56E98"/>
    <w:multiLevelType w:val="hybridMultilevel"/>
    <w:tmpl w:val="7C38FD78"/>
    <w:lvl w:ilvl="0" w:tplc="BA8AF640">
      <w:start w:val="2"/>
      <w:numFmt w:val="bullet"/>
      <w:lvlText w:val=""/>
      <w:lvlJc w:val="left"/>
      <w:pPr>
        <w:ind w:left="927" w:hanging="360"/>
      </w:pPr>
      <w:rPr>
        <w:rFonts w:ascii="Symbol" w:eastAsia="Times New Roman" w:hAnsi="Symbol"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91764B8"/>
    <w:multiLevelType w:val="hybridMultilevel"/>
    <w:tmpl w:val="923ED1EC"/>
    <w:lvl w:ilvl="0" w:tplc="3CF02422">
      <w:start w:val="2"/>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0B524BC"/>
    <w:multiLevelType w:val="hybridMultilevel"/>
    <w:tmpl w:val="F5BE260C"/>
    <w:lvl w:ilvl="0" w:tplc="6FB87F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37F0E93"/>
    <w:multiLevelType w:val="hybridMultilevel"/>
    <w:tmpl w:val="BD54CBB6"/>
    <w:lvl w:ilvl="0" w:tplc="8728910A">
      <w:numFmt w:val="bullet"/>
      <w:lvlText w:val="-"/>
      <w:lvlJc w:val="left"/>
      <w:pPr>
        <w:ind w:left="102" w:hanging="152"/>
      </w:pPr>
      <w:rPr>
        <w:rFonts w:ascii="Times New Roman" w:eastAsia="Times New Roman" w:hAnsi="Times New Roman" w:cs="Times New Roman" w:hint="default"/>
        <w:spacing w:val="0"/>
        <w:w w:val="100"/>
        <w:lang w:val="vi" w:eastAsia="en-US" w:bidi="ar-SA"/>
      </w:rPr>
    </w:lvl>
    <w:lvl w:ilvl="1" w:tplc="A47A900E">
      <w:numFmt w:val="bullet"/>
      <w:lvlText w:val="•"/>
      <w:lvlJc w:val="left"/>
      <w:pPr>
        <w:ind w:left="1046" w:hanging="152"/>
      </w:pPr>
      <w:rPr>
        <w:rFonts w:hint="default"/>
        <w:lang w:val="vi" w:eastAsia="en-US" w:bidi="ar-SA"/>
      </w:rPr>
    </w:lvl>
    <w:lvl w:ilvl="2" w:tplc="EEAA8364">
      <w:numFmt w:val="bullet"/>
      <w:lvlText w:val="•"/>
      <w:lvlJc w:val="left"/>
      <w:pPr>
        <w:ind w:left="1993" w:hanging="152"/>
      </w:pPr>
      <w:rPr>
        <w:rFonts w:hint="default"/>
        <w:lang w:val="vi" w:eastAsia="en-US" w:bidi="ar-SA"/>
      </w:rPr>
    </w:lvl>
    <w:lvl w:ilvl="3" w:tplc="262258CA">
      <w:numFmt w:val="bullet"/>
      <w:lvlText w:val="•"/>
      <w:lvlJc w:val="left"/>
      <w:pPr>
        <w:ind w:left="2940" w:hanging="152"/>
      </w:pPr>
      <w:rPr>
        <w:rFonts w:hint="default"/>
        <w:lang w:val="vi" w:eastAsia="en-US" w:bidi="ar-SA"/>
      </w:rPr>
    </w:lvl>
    <w:lvl w:ilvl="4" w:tplc="A12232F2">
      <w:numFmt w:val="bullet"/>
      <w:lvlText w:val="•"/>
      <w:lvlJc w:val="left"/>
      <w:pPr>
        <w:ind w:left="3887" w:hanging="152"/>
      </w:pPr>
      <w:rPr>
        <w:rFonts w:hint="default"/>
        <w:lang w:val="vi" w:eastAsia="en-US" w:bidi="ar-SA"/>
      </w:rPr>
    </w:lvl>
    <w:lvl w:ilvl="5" w:tplc="F41A5352">
      <w:numFmt w:val="bullet"/>
      <w:lvlText w:val="•"/>
      <w:lvlJc w:val="left"/>
      <w:pPr>
        <w:ind w:left="4834" w:hanging="152"/>
      </w:pPr>
      <w:rPr>
        <w:rFonts w:hint="default"/>
        <w:lang w:val="vi" w:eastAsia="en-US" w:bidi="ar-SA"/>
      </w:rPr>
    </w:lvl>
    <w:lvl w:ilvl="6" w:tplc="D5BAE876">
      <w:numFmt w:val="bullet"/>
      <w:lvlText w:val="•"/>
      <w:lvlJc w:val="left"/>
      <w:pPr>
        <w:ind w:left="5781" w:hanging="152"/>
      </w:pPr>
      <w:rPr>
        <w:rFonts w:hint="default"/>
        <w:lang w:val="vi" w:eastAsia="en-US" w:bidi="ar-SA"/>
      </w:rPr>
    </w:lvl>
    <w:lvl w:ilvl="7" w:tplc="B03C7D2C">
      <w:numFmt w:val="bullet"/>
      <w:lvlText w:val="•"/>
      <w:lvlJc w:val="left"/>
      <w:pPr>
        <w:ind w:left="6728" w:hanging="152"/>
      </w:pPr>
      <w:rPr>
        <w:rFonts w:hint="default"/>
        <w:lang w:val="vi" w:eastAsia="en-US" w:bidi="ar-SA"/>
      </w:rPr>
    </w:lvl>
    <w:lvl w:ilvl="8" w:tplc="7E8C4808">
      <w:numFmt w:val="bullet"/>
      <w:lvlText w:val="•"/>
      <w:lvlJc w:val="left"/>
      <w:pPr>
        <w:ind w:left="7675" w:hanging="152"/>
      </w:pPr>
      <w:rPr>
        <w:rFonts w:hint="default"/>
        <w:lang w:val="vi" w:eastAsia="en-US" w:bidi="ar-SA"/>
      </w:rPr>
    </w:lvl>
  </w:abstractNum>
  <w:num w:numId="1">
    <w:abstractNumId w:val="2"/>
  </w:num>
  <w:num w:numId="2">
    <w:abstractNumId w:val="8"/>
  </w:num>
  <w:num w:numId="3">
    <w:abstractNumId w:val="7"/>
  </w:num>
  <w:num w:numId="4">
    <w:abstractNumId w:val="5"/>
  </w:num>
  <w:num w:numId="5">
    <w:abstractNumId w:val="0"/>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6E816-0C17-4BF5-B876-2FAD7127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pPr>
      <w:spacing w:before="161"/>
      <w:ind w:left="10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pPr>
      <w:ind w:left="102" w:right="386" w:firstLine="719"/>
      <w:jc w:val="both"/>
    </w:pPr>
    <w:rPr>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paragraph" w:styleId="ListParagraph">
    <w:name w:val="List Paragraph"/>
    <w:basedOn w:val="Normal"/>
    <w:uiPriority w:val="1"/>
    <w:qFormat/>
    <w:pPr>
      <w:spacing w:before="160"/>
      <w:ind w:left="102" w:firstLine="719"/>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character" w:styleId="FootnoteReference">
    <w:name w:val="footnote reference"/>
    <w:aliases w:val="Ref,de nota al pie,Footnote text,ftref,Footnote text + 13 pt,Footnote Text1,BearingPoint,16 Point,Superscript 6 Point,fr,Footnote Text Char Char Char Char Char Char Ch Char Char Char Char Char Char C,Footnote + Arial,10 pt,4_,R"/>
    <w:link w:val="BVIfnrCarCar"/>
    <w:qFormat/>
    <w:rPr>
      <w:vertAlign w:val="superscript"/>
    </w:rPr>
  </w:style>
  <w:style w:type="paragraph" w:styleId="FootnoteText">
    <w:name w:val="footnote text"/>
    <w:aliases w:val="foot,Footnote Text Char Char Char Char Char,Footnote Text Char Char Char Char Char Char Ch,fn,footnote text,Footnotes,Footnote ak,Footnotes Char Char,Footnotes Char Ch,Geneva 9,Font: Geneva 9,Boston 10,f Char,f,Footnote Text Char1 Char1,A"/>
    <w:basedOn w:val="Normal"/>
    <w:link w:val="FootnoteTextChar"/>
    <w:semiHidden/>
    <w:qFormat/>
    <w:pPr>
      <w:widowControl/>
      <w:autoSpaceDE/>
      <w:autoSpaceDN/>
      <w:spacing w:after="120"/>
      <w:ind w:firstLine="425"/>
      <w:jc w:val="both"/>
    </w:pPr>
    <w:rPr>
      <w:rFonts w:ascii="VNI-Times" w:hAnsi="VNI-Times"/>
      <w:sz w:val="20"/>
      <w:szCs w:val="20"/>
      <w:lang w:val="en-US"/>
    </w:rPr>
  </w:style>
  <w:style w:type="character" w:customStyle="1" w:styleId="FootnoteTextChar">
    <w:name w:val="Footnote Text Char"/>
    <w:aliases w:val="foot Char,Footnote Text Char Char Char Char Char Char,Footnote Text Char Char Char Char Char Char Ch Char,fn Char,footnote text Char,Footnotes Char,Footnote ak Char,Footnotes Char Char Char,Footnotes Char Ch Char,Geneva 9 Char,f Char1"/>
    <w:basedOn w:val="DefaultParagraphFont"/>
    <w:link w:val="FootnoteText"/>
    <w:semiHidden/>
    <w:qFormat/>
    <w:rPr>
      <w:rFonts w:ascii="VNI-Times" w:eastAsia="Times New Roman" w:hAnsi="VNI-Times" w:cs="Times New Roman"/>
      <w:sz w:val="20"/>
      <w:szCs w:val="20"/>
    </w:rPr>
  </w:style>
  <w:style w:type="paragraph" w:customStyle="1" w:styleId="55">
    <w:name w:val="55"/>
    <w:basedOn w:val="Normal"/>
    <w:link w:val="55Char"/>
    <w:qFormat/>
    <w:pPr>
      <w:autoSpaceDE/>
      <w:autoSpaceDN/>
      <w:spacing w:before="60" w:after="60" w:line="340" w:lineRule="exact"/>
      <w:ind w:firstLine="720"/>
      <w:jc w:val="both"/>
      <w:outlineLvl w:val="0"/>
    </w:pPr>
    <w:rPr>
      <w:b/>
      <w:i/>
      <w:sz w:val="28"/>
      <w:szCs w:val="28"/>
      <w:lang w:val="nl-NL" w:eastAsia="x-none"/>
    </w:rPr>
  </w:style>
  <w:style w:type="character" w:customStyle="1" w:styleId="55Char">
    <w:name w:val="55 Char"/>
    <w:link w:val="55"/>
    <w:rPr>
      <w:rFonts w:ascii="Times New Roman" w:eastAsia="Times New Roman" w:hAnsi="Times New Roman" w:cs="Times New Roman"/>
      <w:b/>
      <w:i/>
      <w:sz w:val="28"/>
      <w:szCs w:val="28"/>
      <w:lang w:val="nl-NL" w:eastAsia="x-none"/>
    </w:r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US"/>
    </w:rPr>
  </w:style>
  <w:style w:type="paragraph" w:styleId="BodyTextIndent">
    <w:name w:val="Body Text Indent"/>
    <w:basedOn w:val="Normal"/>
    <w:link w:val="BodyTextIndentChar"/>
    <w:uiPriority w:val="99"/>
    <w:semiHidden/>
    <w:unhideWhenUsed/>
    <w:pPr>
      <w:widowControl/>
      <w:autoSpaceDE/>
      <w:autoSpaceDN/>
      <w:spacing w:after="120" w:line="259" w:lineRule="auto"/>
      <w:ind w:left="283"/>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semiHidden/>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Bodytext0">
    <w:name w:val="Body text_"/>
    <w:link w:val="BodyText1"/>
    <w:locked/>
    <w:rPr>
      <w:sz w:val="27"/>
      <w:szCs w:val="27"/>
      <w:shd w:val="clear" w:color="auto" w:fill="FFFFFF"/>
    </w:rPr>
  </w:style>
  <w:style w:type="paragraph" w:customStyle="1" w:styleId="BodyText1">
    <w:name w:val="Body Text1"/>
    <w:basedOn w:val="Normal"/>
    <w:link w:val="Bodytext0"/>
    <w:pPr>
      <w:shd w:val="clear" w:color="auto" w:fill="FFFFFF"/>
      <w:autoSpaceDE/>
      <w:autoSpaceDN/>
      <w:spacing w:before="120" w:line="0" w:lineRule="atLeast"/>
      <w:jc w:val="center"/>
    </w:pPr>
    <w:rPr>
      <w:rFonts w:asciiTheme="minorHAnsi" w:eastAsiaTheme="minorHAnsi" w:hAnsiTheme="minorHAnsi" w:cstheme="minorBidi"/>
      <w:sz w:val="27"/>
      <w:szCs w:val="27"/>
      <w:lang w:val="en-US"/>
    </w:rPr>
  </w:style>
  <w:style w:type="paragraph" w:customStyle="1" w:styleId="BVIfnrCarCar">
    <w:name w:val="BVI fnr Car Car"/>
    <w:aliases w:val="BVI fnr Car,BVI fnr Car Car Car Car Char"/>
    <w:basedOn w:val="Normal"/>
    <w:link w:val="FootnoteReference"/>
    <w:qFormat/>
    <w:pPr>
      <w:widowControl/>
      <w:autoSpaceDE/>
      <w:autoSpaceDN/>
      <w:spacing w:after="160" w:line="240" w:lineRule="exact"/>
    </w:pPr>
    <w:rPr>
      <w:rFonts w:asciiTheme="minorHAnsi" w:eastAsiaTheme="minorHAnsi" w:hAnsiTheme="minorHAnsi" w:cstheme="minorBidi"/>
      <w:vertAlign w:val="superscript"/>
      <w:lang w:val="en-US"/>
    </w:rPr>
  </w:style>
  <w:style w:type="paragraph" w:customStyle="1" w:styleId="BodyText3">
    <w:name w:val="Body Text3"/>
    <w:basedOn w:val="Normal"/>
    <w:pPr>
      <w:shd w:val="clear" w:color="auto" w:fill="FFFFFF"/>
      <w:autoSpaceDE/>
      <w:autoSpaceDN/>
      <w:spacing w:after="60" w:line="313" w:lineRule="exact"/>
      <w:jc w:val="both"/>
    </w:pPr>
    <w:rPr>
      <w:color w:val="000000"/>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9778">
      <w:bodyDiv w:val="1"/>
      <w:marLeft w:val="0"/>
      <w:marRight w:val="0"/>
      <w:marTop w:val="0"/>
      <w:marBottom w:val="0"/>
      <w:divBdr>
        <w:top w:val="none" w:sz="0" w:space="0" w:color="auto"/>
        <w:left w:val="none" w:sz="0" w:space="0" w:color="auto"/>
        <w:bottom w:val="none" w:sz="0" w:space="0" w:color="auto"/>
        <w:right w:val="none" w:sz="0" w:space="0" w:color="auto"/>
      </w:divBdr>
    </w:div>
    <w:div w:id="288437685">
      <w:bodyDiv w:val="1"/>
      <w:marLeft w:val="0"/>
      <w:marRight w:val="0"/>
      <w:marTop w:val="0"/>
      <w:marBottom w:val="0"/>
      <w:divBdr>
        <w:top w:val="none" w:sz="0" w:space="0" w:color="auto"/>
        <w:left w:val="none" w:sz="0" w:space="0" w:color="auto"/>
        <w:bottom w:val="none" w:sz="0" w:space="0" w:color="auto"/>
        <w:right w:val="none" w:sz="0" w:space="0" w:color="auto"/>
      </w:divBdr>
    </w:div>
    <w:div w:id="594443937">
      <w:bodyDiv w:val="1"/>
      <w:marLeft w:val="0"/>
      <w:marRight w:val="0"/>
      <w:marTop w:val="0"/>
      <w:marBottom w:val="0"/>
      <w:divBdr>
        <w:top w:val="none" w:sz="0" w:space="0" w:color="auto"/>
        <w:left w:val="none" w:sz="0" w:space="0" w:color="auto"/>
        <w:bottom w:val="none" w:sz="0" w:space="0" w:color="auto"/>
        <w:right w:val="none" w:sz="0" w:space="0" w:color="auto"/>
      </w:divBdr>
    </w:div>
    <w:div w:id="1172833973">
      <w:bodyDiv w:val="1"/>
      <w:marLeft w:val="0"/>
      <w:marRight w:val="0"/>
      <w:marTop w:val="0"/>
      <w:marBottom w:val="0"/>
      <w:divBdr>
        <w:top w:val="none" w:sz="0" w:space="0" w:color="auto"/>
        <w:left w:val="none" w:sz="0" w:space="0" w:color="auto"/>
        <w:bottom w:val="none" w:sz="0" w:space="0" w:color="auto"/>
        <w:right w:val="none" w:sz="0" w:space="0" w:color="auto"/>
      </w:divBdr>
    </w:div>
    <w:div w:id="1385257265">
      <w:bodyDiv w:val="1"/>
      <w:marLeft w:val="0"/>
      <w:marRight w:val="0"/>
      <w:marTop w:val="0"/>
      <w:marBottom w:val="0"/>
      <w:divBdr>
        <w:top w:val="none" w:sz="0" w:space="0" w:color="auto"/>
        <w:left w:val="none" w:sz="0" w:space="0" w:color="auto"/>
        <w:bottom w:val="none" w:sz="0" w:space="0" w:color="auto"/>
        <w:right w:val="none" w:sz="0" w:space="0" w:color="auto"/>
      </w:divBdr>
    </w:div>
    <w:div w:id="1671563357">
      <w:bodyDiv w:val="1"/>
      <w:marLeft w:val="0"/>
      <w:marRight w:val="0"/>
      <w:marTop w:val="0"/>
      <w:marBottom w:val="0"/>
      <w:divBdr>
        <w:top w:val="none" w:sz="0" w:space="0" w:color="auto"/>
        <w:left w:val="none" w:sz="0" w:space="0" w:color="auto"/>
        <w:bottom w:val="none" w:sz="0" w:space="0" w:color="auto"/>
        <w:right w:val="none" w:sz="0" w:space="0" w:color="auto"/>
      </w:divBdr>
    </w:div>
    <w:div w:id="1744644556">
      <w:bodyDiv w:val="1"/>
      <w:marLeft w:val="0"/>
      <w:marRight w:val="0"/>
      <w:marTop w:val="0"/>
      <w:marBottom w:val="0"/>
      <w:divBdr>
        <w:top w:val="none" w:sz="0" w:space="0" w:color="auto"/>
        <w:left w:val="none" w:sz="0" w:space="0" w:color="auto"/>
        <w:bottom w:val="none" w:sz="0" w:space="0" w:color="auto"/>
        <w:right w:val="none" w:sz="0" w:space="0" w:color="auto"/>
      </w:divBdr>
    </w:div>
    <w:div w:id="19852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2024-03-14T01:24:00Z</cp:lastPrinted>
  <dcterms:created xsi:type="dcterms:W3CDTF">2024-03-14T02:30:00Z</dcterms:created>
  <dcterms:modified xsi:type="dcterms:W3CDTF">2024-03-14T08:48:00Z</dcterms:modified>
</cp:coreProperties>
</file>